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C1394A">
        <w:tc>
          <w:tcPr>
            <w:tcW w:w="6345" w:type="dxa"/>
          </w:tcPr>
          <w:p w:rsidR="00C1394A" w:rsidRDefault="00212C8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560" w:type="dxa"/>
          </w:tcPr>
          <w:p w:rsidR="00C1394A" w:rsidRDefault="00C1394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C1394A" w:rsidRDefault="00C1394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C1394A" w:rsidRDefault="00212C8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C1394A" w:rsidRDefault="00212C8C">
            <w:pPr>
              <w:tabs>
                <w:tab w:val="left" w:pos="6804"/>
              </w:tabs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генерального директора по техническим вопросам – главный инженер</w:t>
            </w:r>
          </w:p>
          <w:p w:rsidR="00C1394A" w:rsidRDefault="00212C8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C1394A" w:rsidRDefault="00212C8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</w:t>
            </w:r>
            <w:r w:rsidR="00EA7C0C">
              <w:rPr>
                <w:rFonts w:asciiTheme="minorHAnsi" w:eastAsia="Times New Roman" w:hAnsiTheme="minorHAnsi" w:cs="Times New Roman CYR"/>
                <w:sz w:val="26"/>
                <w:szCs w:val="26"/>
              </w:rPr>
              <w:t>6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C1394A" w:rsidRDefault="00C1394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C1394A" w:rsidRDefault="00212C8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C1394A" w:rsidRDefault="00212C8C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</w:t>
      </w:r>
      <w:r w:rsidRPr="00EA7C0C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п</w:t>
      </w:r>
      <w:r w:rsidRPr="00EA7C0C">
        <w:rPr>
          <w:rFonts w:ascii="Times New Roman" w:eastAsia="Times New Roman" w:hAnsi="Times New Roman"/>
          <w:sz w:val="26"/>
          <w:szCs w:val="26"/>
        </w:rPr>
        <w:t>рибор</w:t>
      </w:r>
      <w:r>
        <w:rPr>
          <w:rFonts w:ascii="Times New Roman" w:eastAsia="Times New Roman" w:hAnsi="Times New Roman"/>
          <w:sz w:val="26"/>
          <w:szCs w:val="26"/>
        </w:rPr>
        <w:t>ов</w:t>
      </w:r>
      <w:r w:rsidRPr="00EA7C0C">
        <w:rPr>
          <w:rFonts w:ascii="Times New Roman" w:eastAsia="Times New Roman" w:hAnsi="Times New Roman"/>
          <w:sz w:val="26"/>
          <w:szCs w:val="26"/>
        </w:rPr>
        <w:t xml:space="preserve"> для измерения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A7C0C">
        <w:rPr>
          <w:rFonts w:ascii="Times New Roman" w:eastAsia="Times New Roman" w:hAnsi="Times New Roman"/>
          <w:sz w:val="26"/>
          <w:szCs w:val="26"/>
        </w:rPr>
        <w:t>показателей качества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A7C0C">
        <w:rPr>
          <w:rFonts w:ascii="Times New Roman" w:eastAsia="Times New Roman" w:hAnsi="Times New Roman"/>
          <w:sz w:val="26"/>
          <w:szCs w:val="26"/>
        </w:rPr>
        <w:t>электрической энергии</w:t>
      </w:r>
      <w:r>
        <w:t xml:space="preserve"> </w:t>
      </w:r>
      <w:r w:rsidRPr="00EA7C0C">
        <w:rPr>
          <w:rFonts w:ascii="Times New Roman" w:eastAsia="Times New Roman" w:hAnsi="Times New Roman"/>
          <w:sz w:val="26"/>
          <w:szCs w:val="26"/>
        </w:rPr>
        <w:t xml:space="preserve">«Прорыв-Т-А» </w:t>
      </w:r>
    </w:p>
    <w:p w:rsidR="00C1394A" w:rsidRDefault="00C1394A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C1394A" w:rsidRDefault="00212C8C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1. Общие положения.</w:t>
      </w:r>
    </w:p>
    <w:p w:rsidR="00C1394A" w:rsidRDefault="00212C8C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1.1 Заказчик: АО «Россети Сибирь Тываэнерго»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1.2 Предмет закупки: поставка п</w:t>
      </w:r>
      <w:r w:rsidRPr="00EA7C0C">
        <w:rPr>
          <w:rFonts w:ascii="Times New Roman" w:eastAsia="Times New Roman" w:hAnsi="Times New Roman"/>
          <w:sz w:val="26"/>
          <w:szCs w:val="26"/>
        </w:rPr>
        <w:t>рибор</w:t>
      </w:r>
      <w:r>
        <w:rPr>
          <w:rFonts w:ascii="Times New Roman" w:eastAsia="Times New Roman" w:hAnsi="Times New Roman"/>
          <w:sz w:val="26"/>
          <w:szCs w:val="26"/>
        </w:rPr>
        <w:t>ов</w:t>
      </w:r>
      <w:r w:rsidRPr="00EA7C0C">
        <w:rPr>
          <w:rFonts w:ascii="Times New Roman" w:eastAsia="Times New Roman" w:hAnsi="Times New Roman"/>
          <w:sz w:val="26"/>
          <w:szCs w:val="26"/>
        </w:rPr>
        <w:t xml:space="preserve"> для измерения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A7C0C">
        <w:rPr>
          <w:rFonts w:ascii="Times New Roman" w:eastAsia="Times New Roman" w:hAnsi="Times New Roman"/>
          <w:sz w:val="26"/>
          <w:szCs w:val="26"/>
        </w:rPr>
        <w:t>показателей качества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A7C0C">
        <w:rPr>
          <w:rFonts w:ascii="Times New Roman" w:eastAsia="Times New Roman" w:hAnsi="Times New Roman"/>
          <w:sz w:val="26"/>
          <w:szCs w:val="26"/>
        </w:rPr>
        <w:t>электрической энергии</w:t>
      </w:r>
      <w:r>
        <w:t xml:space="preserve"> </w:t>
      </w:r>
      <w:r w:rsidRPr="00EA7C0C">
        <w:rPr>
          <w:rFonts w:ascii="Times New Roman" w:eastAsia="Times New Roman" w:hAnsi="Times New Roman"/>
          <w:sz w:val="26"/>
          <w:szCs w:val="26"/>
        </w:rPr>
        <w:t>«Прорыв-Т-А»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C1394A" w:rsidRDefault="00212C8C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2. Место, срок и условия поставки.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2.1 Место поставки: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: </w:t>
      </w:r>
      <w:r>
        <w:rPr>
          <w:rFonts w:ascii="Times New Roman CYR" w:hAnsi="Times New Roman CYR" w:cs="Times New Roman CYR"/>
          <w:sz w:val="26"/>
          <w:szCs w:val="26"/>
        </w:rPr>
        <w:t>г. Кызыл, ул. Колхозная, 2б, Центральный склад.</w:t>
      </w:r>
    </w:p>
    <w:p w:rsidR="00C1394A" w:rsidRDefault="00212C8C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2.2 Поставка продукции осуществляется (силами и средствами Поставщика) до места поставки. </w:t>
      </w:r>
    </w:p>
    <w:p w:rsidR="00C1394A" w:rsidRDefault="00212C8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>в течение 60 (шестидесяти) календарных дней с момента подписания договора поставки.</w:t>
      </w:r>
    </w:p>
    <w:p w:rsidR="00C1394A" w:rsidRDefault="00C139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3. Перечень и объемы поставки.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3.1. </w:t>
      </w: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C1394A" w:rsidRDefault="00212C8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3.2. 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C1394A" w:rsidRDefault="00C139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4.2. Продукция должна соответствовать требованиям: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4.4.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4.5.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4.6. 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4.7. Характеристики и требования к поставляемой продукции представлены в приложении 2 к настоящему техническому заданию. 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4.9.</w:t>
      </w:r>
      <w:r>
        <w:rPr>
          <w:rFonts w:ascii="Times New Roman" w:eastAsia="Times New Roman" w:hAnsi="Times New Roman"/>
          <w:sz w:val="26"/>
          <w:szCs w:val="26"/>
        </w:rPr>
        <w:t xml:space="preserve"> Приборы, в том числе импортные, должны быть поверены (с датой поверки с давностью не более 6 месяцев) и занесены в государственный реестр средств измерений РФ </w:t>
      </w:r>
    </w:p>
    <w:p w:rsidR="00C1394A" w:rsidRDefault="00C139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5. Гарантийные обязательства.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гарантии на поставляемые материалы и оборудование должен быть не менее </w:t>
      </w:r>
      <w:r w:rsidR="00036E73">
        <w:rPr>
          <w:rFonts w:ascii="Times New Roman" w:eastAsia="Times New Roman" w:hAnsi="Times New Roman"/>
          <w:sz w:val="26"/>
          <w:szCs w:val="26"/>
        </w:rPr>
        <w:t>3</w:t>
      </w:r>
      <w:r>
        <w:rPr>
          <w:rFonts w:ascii="Times New Roman" w:eastAsia="Times New Roman" w:hAnsi="Times New Roman"/>
          <w:sz w:val="26"/>
          <w:szCs w:val="26"/>
        </w:rPr>
        <w:t xml:space="preserve"> лет. Время начала исчисления гарантийного срока – с момента ввода оборудования и материалов в эксплуатацию.</w:t>
      </w:r>
    </w:p>
    <w:p w:rsidR="00C1394A" w:rsidRDefault="004F3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Поставщик</w:t>
      </w:r>
      <w:bookmarkStart w:id="0" w:name="_GoBack"/>
      <w:bookmarkEnd w:id="0"/>
      <w:r w:rsidR="00212C8C">
        <w:rPr>
          <w:rFonts w:ascii="Times New Roman" w:eastAsia="Times New Roman" w:hAnsi="Times New Roman"/>
          <w:sz w:val="26"/>
          <w:szCs w:val="26"/>
        </w:rPr>
        <w:t xml:space="preserve">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C1394A" w:rsidRDefault="00212C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C1394A" w:rsidRDefault="00C139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1394A" w:rsidRDefault="00212C8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6. Правила приемки продукции.</w:t>
      </w:r>
    </w:p>
    <w:p w:rsidR="00C1394A" w:rsidRDefault="00212C8C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на склад.</w:t>
      </w:r>
    </w:p>
    <w:p w:rsidR="00C1394A" w:rsidRDefault="00212C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C1394A" w:rsidRDefault="00212C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C1394A" w:rsidRDefault="00212C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приемке продукции осуществляется: </w:t>
      </w:r>
    </w:p>
    <w:p w:rsidR="00C1394A" w:rsidRDefault="00212C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– внешний осмотр тары и упаковки: </w:t>
      </w:r>
    </w:p>
    <w:p w:rsidR="00C1394A" w:rsidRDefault="00212C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:rsidR="00C1394A" w:rsidRDefault="00212C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C1394A" w:rsidRDefault="00C1394A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C1394A" w:rsidRDefault="00C1394A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693"/>
      </w:tblGrid>
      <w:tr w:rsidR="00C1394A">
        <w:tc>
          <w:tcPr>
            <w:tcW w:w="675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394A">
        <w:trPr>
          <w:trHeight w:val="888"/>
        </w:trPr>
        <w:tc>
          <w:tcPr>
            <w:tcW w:w="675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метролог ПАО «Россети Сибирь»</w:t>
            </w:r>
          </w:p>
        </w:tc>
        <w:tc>
          <w:tcPr>
            <w:tcW w:w="1701" w:type="dxa"/>
            <w:vAlign w:val="center"/>
          </w:tcPr>
          <w:p w:rsidR="00C1394A" w:rsidRDefault="00C1394A">
            <w:pPr>
              <w:spacing w:after="0" w:line="256" w:lineRule="auto"/>
            </w:pPr>
          </w:p>
        </w:tc>
        <w:tc>
          <w:tcPr>
            <w:tcW w:w="2693" w:type="dxa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В.Г. Егорова</w:t>
            </w:r>
          </w:p>
        </w:tc>
      </w:tr>
      <w:tr w:rsidR="00C1394A">
        <w:trPr>
          <w:trHeight w:val="888"/>
        </w:trPr>
        <w:tc>
          <w:tcPr>
            <w:tcW w:w="675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C1394A" w:rsidRDefault="00C1394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главного инженера по эксплуатации - начальник управления ТОиРОЭХ</w:t>
            </w:r>
          </w:p>
        </w:tc>
        <w:tc>
          <w:tcPr>
            <w:tcW w:w="1701" w:type="dxa"/>
            <w:vAlign w:val="center"/>
          </w:tcPr>
          <w:p w:rsidR="00C1394A" w:rsidRDefault="00C1394A">
            <w:pPr>
              <w:spacing w:after="0" w:line="256" w:lineRule="auto"/>
            </w:pPr>
          </w:p>
        </w:tc>
        <w:tc>
          <w:tcPr>
            <w:tcW w:w="2693" w:type="dxa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C1394A">
        <w:trPr>
          <w:trHeight w:val="831"/>
        </w:trPr>
        <w:tc>
          <w:tcPr>
            <w:tcW w:w="675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701" w:type="dxa"/>
            <w:vAlign w:val="center"/>
          </w:tcPr>
          <w:p w:rsidR="00C1394A" w:rsidRDefault="00C1394A">
            <w:pPr>
              <w:spacing w:after="0" w:line="256" w:lineRule="auto"/>
            </w:pPr>
          </w:p>
        </w:tc>
        <w:tc>
          <w:tcPr>
            <w:tcW w:w="2693" w:type="dxa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both"/>
              <w:rPr>
                <w:rStyle w:val="afff8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C1394A">
        <w:trPr>
          <w:trHeight w:val="831"/>
        </w:trPr>
        <w:tc>
          <w:tcPr>
            <w:tcW w:w="675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C1394A" w:rsidRDefault="00C1394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метролог АО «Россети Сибирь Тываэнерго»</w:t>
            </w:r>
          </w:p>
        </w:tc>
        <w:tc>
          <w:tcPr>
            <w:tcW w:w="1701" w:type="dxa"/>
            <w:vAlign w:val="center"/>
          </w:tcPr>
          <w:p w:rsidR="00C1394A" w:rsidRDefault="00C1394A">
            <w:pPr>
              <w:spacing w:after="0" w:line="256" w:lineRule="auto"/>
            </w:pPr>
          </w:p>
        </w:tc>
        <w:tc>
          <w:tcPr>
            <w:tcW w:w="2693" w:type="dxa"/>
          </w:tcPr>
          <w:p w:rsidR="00C1394A" w:rsidRDefault="00212C8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Т.А. Чистякова</w:t>
            </w:r>
          </w:p>
        </w:tc>
      </w:tr>
    </w:tbl>
    <w:p w:rsidR="00C1394A" w:rsidRDefault="00C1394A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C1394A" w:rsidRDefault="00C1394A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C1394A" w:rsidRDefault="00C1394A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C1394A" w:rsidRDefault="00212C8C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C1394A" w:rsidRDefault="00212C8C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C1394A" w:rsidRDefault="00C1394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C1394A" w:rsidRDefault="00212C8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lastRenderedPageBreak/>
        <w:t>Технические характеристики и требования к поставляемому оборудованию</w:t>
      </w:r>
    </w:p>
    <w:p w:rsidR="00C1394A" w:rsidRDefault="00212C8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Прорыв-Т-А</w:t>
      </w:r>
    </w:p>
    <w:p w:rsidR="00C1394A" w:rsidRDefault="00C1394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02"/>
        <w:gridCol w:w="2268"/>
        <w:gridCol w:w="1452"/>
      </w:tblGrid>
      <w:tr w:rsidR="00C1394A">
        <w:tc>
          <w:tcPr>
            <w:tcW w:w="710" w:type="dxa"/>
            <w:vAlign w:val="center"/>
          </w:tcPr>
          <w:p w:rsidR="00C1394A" w:rsidRDefault="00212C8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C1394A" w:rsidRDefault="00212C8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:rsidR="00C1394A" w:rsidRDefault="00212C8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452" w:type="dxa"/>
            <w:vAlign w:val="center"/>
          </w:tcPr>
          <w:p w:rsidR="00C1394A" w:rsidRDefault="00212C8C">
            <w:pPr>
              <w:keepLines/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C1394A">
        <w:trPr>
          <w:trHeight w:val="191"/>
        </w:trPr>
        <w:tc>
          <w:tcPr>
            <w:tcW w:w="710" w:type="dxa"/>
            <w:vAlign w:val="center"/>
          </w:tcPr>
          <w:p w:rsidR="00C1394A" w:rsidRDefault="00212C8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rPr>
          <w:trHeight w:val="111"/>
        </w:trPr>
        <w:tc>
          <w:tcPr>
            <w:tcW w:w="710" w:type="dxa"/>
            <w:vAlign w:val="center"/>
          </w:tcPr>
          <w:p w:rsidR="00C1394A" w:rsidRDefault="00212C8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rPr>
          <w:trHeight w:val="55"/>
        </w:trPr>
        <w:tc>
          <w:tcPr>
            <w:tcW w:w="710" w:type="dxa"/>
            <w:vAlign w:val="center"/>
          </w:tcPr>
          <w:p w:rsidR="00C1394A" w:rsidRDefault="00212C8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Количество, шт. (компл.)</w:t>
            </w:r>
          </w:p>
        </w:tc>
        <w:tc>
          <w:tcPr>
            <w:tcW w:w="2268" w:type="dxa"/>
            <w:vAlign w:val="center"/>
          </w:tcPr>
          <w:p w:rsidR="00C1394A" w:rsidRDefault="00CF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rPr>
          <w:trHeight w:val="174"/>
        </w:trPr>
        <w:tc>
          <w:tcPr>
            <w:tcW w:w="710" w:type="dxa"/>
            <w:vAlign w:val="center"/>
          </w:tcPr>
          <w:p w:rsidR="00C1394A" w:rsidRDefault="00212C8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Предназначен для измерения и регистрации характеристик напряжения, а также временных характеристик и показателей качества электрической энергии в соответствии с ГОСТ 32144-2013, ГОСТ 33073-2014, ГОСТ 30804.4.30-2013, класс А, в однофазных и трехфазных (трех- и четырехпроводных) электрических сетях и системах электроснабжения с номинальной частотой 50 Гц 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4.2.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Номинальное фазное действующее значение напряжения 220 В (четырехпроводная схема), номинальное междуфазное действующее значение напряжения 100 В (трехпроводная схема)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4.3.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Прибор обеспечивает непрерывное измерение и запоминание ПКЭ в течение, суток, не менее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pStyle w:val="affff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 30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4.4.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Прибор обеспечивает сохранение измеренных ПКЭ при отключении питания в течение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pStyle w:val="affff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неограниченного времени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4.5.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Электропитание прибора осуществляется напряжением переменного тока в диапазоне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pStyle w:val="affff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от 85 В до 265 В и частотой в диапазоне от 45 Гц до 55 Гц.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4.6.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Номинальное значение измеряемого среднеквадратического значения силы тока, А, не менее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pStyle w:val="affff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Требования к конструкции, изготовлению и материалам</w:t>
            </w:r>
          </w:p>
        </w:tc>
        <w:tc>
          <w:tcPr>
            <w:tcW w:w="2268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Габаритные размеры, диаметр/длина, мм</w:t>
            </w:r>
          </w:p>
        </w:tc>
        <w:tc>
          <w:tcPr>
            <w:tcW w:w="2268" w:type="dxa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52" w:type="dxa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5.2.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Масса, не более, кг</w:t>
            </w:r>
          </w:p>
        </w:tc>
        <w:tc>
          <w:tcPr>
            <w:tcW w:w="2268" w:type="dxa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52" w:type="dxa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</w:t>
            </w:r>
          </w:p>
        </w:tc>
        <w:tc>
          <w:tcPr>
            <w:tcW w:w="2268" w:type="dxa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+55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-40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Комплектность поставки (1 комплект)</w:t>
            </w:r>
          </w:p>
        </w:tc>
        <w:tc>
          <w:tcPr>
            <w:tcW w:w="2268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Прибор для измерения показателей качества электрической энергии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7.2.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Кабель электропитания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7.3.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Кабель соединительный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7.4.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Зажим типа «крокодил»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7.5.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Клещи токоизмерительные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7.6.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Интерфейсный кабель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7.7.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7.8.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Методика поверки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7.9.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Паспорт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7.10.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Сумка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2268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8.1.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8.2.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9.</w:t>
            </w:r>
          </w:p>
        </w:tc>
        <w:tc>
          <w:tcPr>
            <w:tcW w:w="6202" w:type="dxa"/>
            <w:vAlign w:val="center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9.1.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9.2.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9.3.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9.4.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394A">
        <w:tc>
          <w:tcPr>
            <w:tcW w:w="710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9.5.</w:t>
            </w:r>
          </w:p>
        </w:tc>
        <w:tc>
          <w:tcPr>
            <w:tcW w:w="6202" w:type="dxa"/>
          </w:tcPr>
          <w:p w:rsidR="00C1394A" w:rsidRDefault="0021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C1394A" w:rsidRDefault="0021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452" w:type="dxa"/>
            <w:vAlign w:val="center"/>
          </w:tcPr>
          <w:p w:rsidR="00C1394A" w:rsidRDefault="00C1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C1394A" w:rsidRDefault="00C1394A">
      <w:pPr>
        <w:pStyle w:val="aff8"/>
        <w:rPr>
          <w:rFonts w:ascii="Times New Roman" w:hAnsi="Times New Roman"/>
          <w:sz w:val="24"/>
          <w:szCs w:val="24"/>
        </w:rPr>
      </w:pPr>
    </w:p>
    <w:p w:rsidR="00C1394A" w:rsidRDefault="00C1394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sectPr w:rsidR="00C1394A">
      <w:footerReference w:type="default" r:id="rId11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172" w:rsidRDefault="00420172">
      <w:pPr>
        <w:spacing w:after="0" w:line="240" w:lineRule="auto"/>
      </w:pPr>
      <w:r>
        <w:separator/>
      </w:r>
    </w:p>
  </w:endnote>
  <w:endnote w:type="continuationSeparator" w:id="0">
    <w:p w:rsidR="00420172" w:rsidRDefault="00420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94A" w:rsidRDefault="00212C8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366A">
      <w:rPr>
        <w:noProof/>
      </w:rPr>
      <w:t>1</w:t>
    </w:r>
    <w:r>
      <w:fldChar w:fldCharType="end"/>
    </w:r>
  </w:p>
  <w:p w:rsidR="00C1394A" w:rsidRDefault="00C1394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172" w:rsidRDefault="00420172">
      <w:pPr>
        <w:spacing w:after="0" w:line="240" w:lineRule="auto"/>
      </w:pPr>
      <w:r>
        <w:separator/>
      </w:r>
    </w:p>
  </w:footnote>
  <w:footnote w:type="continuationSeparator" w:id="0">
    <w:p w:rsidR="00420172" w:rsidRDefault="00420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EF48C2"/>
    <w:multiLevelType w:val="hybridMultilevel"/>
    <w:tmpl w:val="D9CAA09C"/>
    <w:lvl w:ilvl="0" w:tplc="191251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4ABC9D80">
      <w:start w:val="1"/>
      <w:numFmt w:val="lowerLetter"/>
      <w:lvlText w:val="%2."/>
      <w:lvlJc w:val="left"/>
      <w:pPr>
        <w:ind w:left="1647" w:hanging="360"/>
      </w:pPr>
    </w:lvl>
    <w:lvl w:ilvl="2" w:tplc="B82ABFB0">
      <w:start w:val="1"/>
      <w:numFmt w:val="lowerRoman"/>
      <w:lvlText w:val="%3."/>
      <w:lvlJc w:val="right"/>
      <w:pPr>
        <w:ind w:left="2367" w:hanging="180"/>
      </w:pPr>
    </w:lvl>
    <w:lvl w:ilvl="3" w:tplc="3EF838E6">
      <w:start w:val="1"/>
      <w:numFmt w:val="decimal"/>
      <w:lvlText w:val="%4."/>
      <w:lvlJc w:val="left"/>
      <w:pPr>
        <w:ind w:left="3087" w:hanging="360"/>
      </w:pPr>
    </w:lvl>
    <w:lvl w:ilvl="4" w:tplc="35161274">
      <w:start w:val="1"/>
      <w:numFmt w:val="lowerLetter"/>
      <w:pStyle w:val="a"/>
      <w:lvlText w:val="%5."/>
      <w:lvlJc w:val="left"/>
      <w:pPr>
        <w:ind w:left="3807" w:hanging="360"/>
      </w:pPr>
    </w:lvl>
    <w:lvl w:ilvl="5" w:tplc="3A067E40">
      <w:start w:val="1"/>
      <w:numFmt w:val="lowerRoman"/>
      <w:lvlText w:val="%6."/>
      <w:lvlJc w:val="right"/>
      <w:pPr>
        <w:ind w:left="4527" w:hanging="180"/>
      </w:pPr>
    </w:lvl>
    <w:lvl w:ilvl="6" w:tplc="C3FE988A">
      <w:start w:val="1"/>
      <w:numFmt w:val="decimal"/>
      <w:lvlText w:val="%7."/>
      <w:lvlJc w:val="left"/>
      <w:pPr>
        <w:ind w:left="5247" w:hanging="360"/>
      </w:pPr>
    </w:lvl>
    <w:lvl w:ilvl="7" w:tplc="7F9AC80E">
      <w:start w:val="1"/>
      <w:numFmt w:val="lowerLetter"/>
      <w:lvlText w:val="%8."/>
      <w:lvlJc w:val="left"/>
      <w:pPr>
        <w:ind w:left="5967" w:hanging="360"/>
      </w:pPr>
    </w:lvl>
    <w:lvl w:ilvl="8" w:tplc="3AC881C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4A"/>
    <w:rsid w:val="00036E73"/>
    <w:rsid w:val="00212C8C"/>
    <w:rsid w:val="00420172"/>
    <w:rsid w:val="004F366A"/>
    <w:rsid w:val="00C1394A"/>
    <w:rsid w:val="00CF7C98"/>
    <w:rsid w:val="00EA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EA3D"/>
  <w15:docId w15:val="{BDC03FD8-3140-4975-B386-C8F947EC0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0"/>
    <w:next w:val="a0"/>
    <w:link w:val="21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styleId="3">
    <w:name w:val="heading 3"/>
    <w:basedOn w:val="a0"/>
    <w:next w:val="a0"/>
    <w:link w:val="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</w:rPr>
  </w:style>
  <w:style w:type="paragraph" w:styleId="4">
    <w:name w:val="heading 4"/>
    <w:basedOn w:val="a0"/>
    <w:next w:val="a0"/>
    <w:link w:val="40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1"/>
    <w:uiPriority w:val="99"/>
    <w:semiHidden/>
    <w:unhideWhenUsed/>
    <w:rPr>
      <w:vertAlign w:val="superscript"/>
    </w:rPr>
  </w:style>
  <w:style w:type="paragraph" w:styleId="23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b">
    <w:name w:val="table of figures"/>
    <w:basedOn w:val="a0"/>
    <w:next w:val="a0"/>
    <w:uiPriority w:val="99"/>
    <w:unhideWhenUsed/>
    <w:pPr>
      <w:spacing w:after="0"/>
    </w:pPr>
  </w:style>
  <w:style w:type="table" w:styleId="ac">
    <w:name w:val="Table Grid"/>
    <w:basedOn w:val="a2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Абзац списка1"/>
    <w:basedOn w:val="a0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ody Text Indent"/>
    <w:basedOn w:val="a0"/>
    <w:link w:val="ae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0"/>
    <w:link w:val="af0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paragraph" w:styleId="af1">
    <w:name w:val="header"/>
    <w:basedOn w:val="a0"/>
    <w:link w:val="af2"/>
    <w:unhideWhenUsed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Pr>
      <w:sz w:val="22"/>
      <w:szCs w:val="22"/>
      <w:lang w:eastAsia="en-US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5">
    <w:name w:val="annotation reference"/>
    <w:unhideWhenUsed/>
    <w:rPr>
      <w:sz w:val="16"/>
      <w:szCs w:val="16"/>
    </w:rPr>
  </w:style>
  <w:style w:type="paragraph" w:styleId="af6">
    <w:name w:val="annotation text"/>
    <w:basedOn w:val="a0"/>
    <w:link w:val="af7"/>
    <w:unhideWhenUsed/>
    <w:rPr>
      <w:sz w:val="20"/>
      <w:szCs w:val="20"/>
    </w:rPr>
  </w:style>
  <w:style w:type="character" w:customStyle="1" w:styleId="af7">
    <w:name w:val="Текст примечания Знак"/>
    <w:link w:val="af6"/>
    <w:rPr>
      <w:lang w:eastAsia="en-US"/>
    </w:rPr>
  </w:style>
  <w:style w:type="paragraph" w:styleId="af8">
    <w:name w:val="annotation subject"/>
    <w:basedOn w:val="af6"/>
    <w:next w:val="af6"/>
    <w:link w:val="af9"/>
    <w:unhideWhenUsed/>
    <w:rPr>
      <w:b/>
      <w:bCs/>
    </w:rPr>
  </w:style>
  <w:style w:type="character" w:customStyle="1" w:styleId="af9">
    <w:name w:val="Тема примечания Знак"/>
    <w:link w:val="af8"/>
    <w:rPr>
      <w:b/>
      <w:bCs/>
      <w:lang w:eastAsia="en-US"/>
    </w:rPr>
  </w:style>
  <w:style w:type="paragraph" w:styleId="afa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Plain Text"/>
    <w:basedOn w:val="a0"/>
    <w:link w:val="afc"/>
    <w:unhideWhenUsed/>
    <w:pPr>
      <w:spacing w:after="0" w:line="240" w:lineRule="auto"/>
    </w:pPr>
    <w:rPr>
      <w:rFonts w:eastAsia="Times New Roman"/>
      <w:szCs w:val="21"/>
    </w:rPr>
  </w:style>
  <w:style w:type="character" w:customStyle="1" w:styleId="afc">
    <w:name w:val="Текст Знак"/>
    <w:link w:val="afb"/>
    <w:rPr>
      <w:rFonts w:eastAsia="Times New Roman" w:cs="Times New Roman"/>
      <w:sz w:val="22"/>
      <w:szCs w:val="21"/>
      <w:lang w:eastAsia="en-US"/>
    </w:rPr>
  </w:style>
  <w:style w:type="character" w:customStyle="1" w:styleId="10">
    <w:name w:val="Заголовок 1 Знак"/>
    <w:link w:val="1"/>
    <w:rPr>
      <w:rFonts w:ascii="Arial" w:eastAsia="Times New Roman" w:hAnsi="Arial" w:cs="Arial"/>
      <w:b/>
      <w:bCs/>
      <w:sz w:val="32"/>
      <w:szCs w:val="32"/>
    </w:rPr>
  </w:style>
  <w:style w:type="character" w:customStyle="1" w:styleId="24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Pr>
      <w:rFonts w:ascii="Times New Roman" w:eastAsia="Times New Roman" w:hAnsi="Times New Roman"/>
      <w:b/>
      <w:sz w:val="24"/>
    </w:rPr>
  </w:style>
  <w:style w:type="character" w:customStyle="1" w:styleId="40">
    <w:name w:val="Заголовок 4 Знак"/>
    <w:link w:val="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d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e">
    <w:name w:val="Strong"/>
    <w:uiPriority w:val="22"/>
    <w:qFormat/>
    <w:rPr>
      <w:b/>
      <w:bCs/>
    </w:rPr>
  </w:style>
  <w:style w:type="paragraph" w:styleId="25">
    <w:name w:val="Body Text Indent 2"/>
    <w:basedOn w:val="a0"/>
    <w:link w:val="26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26">
    <w:name w:val="Основной текст с отступом 2 Знак"/>
    <w:link w:val="25"/>
    <w:rPr>
      <w:rFonts w:ascii="Times New Roman" w:eastAsia="Times New Roman" w:hAnsi="Times New Roman"/>
      <w:sz w:val="24"/>
    </w:rPr>
  </w:style>
  <w:style w:type="paragraph" w:customStyle="1" w:styleId="aff">
    <w:name w:val="Пункт"/>
    <w:basedOn w:val="a0"/>
    <w:link w:val="13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0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4">
    <w:name w:val="Сетка таблицы1"/>
    <w:basedOn w:val="a2"/>
    <w:next w:val="a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2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3">
    <w:name w:val="Пункт Знак1"/>
    <w:link w:val="aff"/>
    <w:rPr>
      <w:rFonts w:ascii="Times New Roman" w:eastAsia="Times New Roman" w:hAnsi="Times New Roman"/>
      <w:sz w:val="28"/>
    </w:rPr>
  </w:style>
  <w:style w:type="character" w:customStyle="1" w:styleId="aff3">
    <w:name w:val="Основной текст Знак"/>
    <w:link w:val="aff4"/>
    <w:rPr>
      <w:sz w:val="28"/>
    </w:rPr>
  </w:style>
  <w:style w:type="character" w:styleId="aff5">
    <w:name w:val="Hyperlink"/>
    <w:uiPriority w:val="99"/>
    <w:unhideWhenUsed/>
    <w:rPr>
      <w:color w:val="0000FF"/>
      <w:u w:val="single"/>
    </w:rPr>
  </w:style>
  <w:style w:type="paragraph" w:customStyle="1" w:styleId="a">
    <w:name w:val="Подподпункт"/>
    <w:basedOn w:val="a0"/>
    <w:link w:val="aff6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27">
    <w:name w:val="Сетка таблицы2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5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7">
    <w:name w:val="FollowedHyperlink"/>
    <w:uiPriority w:val="99"/>
    <w:unhideWhenUsed/>
    <w:rPr>
      <w:color w:val="954F72"/>
      <w:u w:val="single"/>
    </w:rPr>
  </w:style>
  <w:style w:type="paragraph" w:customStyle="1" w:styleId="16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paragraph" w:styleId="aff8">
    <w:name w:val="No Spacing"/>
    <w:link w:val="aff9"/>
    <w:uiPriority w:val="1"/>
    <w:qFormat/>
    <w:rPr>
      <w:sz w:val="22"/>
      <w:szCs w:val="22"/>
      <w:lang w:eastAsia="en-US"/>
    </w:rPr>
  </w:style>
  <w:style w:type="character" w:customStyle="1" w:styleId="aff9">
    <w:name w:val="Без интервала Знак"/>
    <w:link w:val="aff8"/>
    <w:uiPriority w:val="1"/>
    <w:rPr>
      <w:sz w:val="22"/>
      <w:szCs w:val="22"/>
      <w:lang w:eastAsia="en-US"/>
    </w:rPr>
  </w:style>
  <w:style w:type="character" w:customStyle="1" w:styleId="21">
    <w:name w:val="Заголовок 2 Знак1"/>
    <w:link w:val="2"/>
    <w:rPr>
      <w:rFonts w:ascii="Times New Roman" w:eastAsia="Arial Unicode MS" w:hAnsi="Times New Roman"/>
      <w:b/>
      <w:sz w:val="36"/>
    </w:rPr>
  </w:style>
  <w:style w:type="character" w:customStyle="1" w:styleId="Heading2Char">
    <w:name w:val="Heading 2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a">
    <w:name w:val="комментарий"/>
    <w:uiPriority w:val="99"/>
    <w:rPr>
      <w:rFonts w:cs="Times New Roman"/>
      <w:b/>
      <w:bCs/>
      <w:i/>
      <w:iCs/>
      <w:shd w:val="clear" w:color="auto" w:fill="auto"/>
    </w:rPr>
  </w:style>
  <w:style w:type="paragraph" w:styleId="affb">
    <w:name w:val="List Number"/>
    <w:basedOn w:val="aff4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styleId="aff4">
    <w:name w:val="Body Text"/>
    <w:basedOn w:val="a0"/>
    <w:link w:val="aff3"/>
    <w:pPr>
      <w:spacing w:after="120" w:line="240" w:lineRule="auto"/>
    </w:pPr>
    <w:rPr>
      <w:sz w:val="28"/>
      <w:szCs w:val="20"/>
      <w:lang w:eastAsia="ru-RU"/>
    </w:rPr>
  </w:style>
  <w:style w:type="character" w:customStyle="1" w:styleId="17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paragraph" w:styleId="affc">
    <w:name w:val="Title"/>
    <w:basedOn w:val="a0"/>
    <w:link w:val="affd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affd">
    <w:name w:val="Заголовок Знак"/>
    <w:link w:val="affc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e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8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">
    <w:name w:val="footnote text"/>
    <w:basedOn w:val="a0"/>
    <w:link w:val="afff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0">
    <w:name w:val="Текст сноски Знак"/>
    <w:link w:val="afff"/>
    <w:rPr>
      <w:rFonts w:ascii="Times New Roman" w:eastAsia="Times New Roman" w:hAnsi="Times New Roman"/>
    </w:rPr>
  </w:style>
  <w:style w:type="character" w:styleId="afff1">
    <w:name w:val="footnote reference"/>
    <w:uiPriority w:val="99"/>
    <w:rPr>
      <w:rFonts w:cs="Times New Roman"/>
      <w:vertAlign w:val="superscript"/>
    </w:rPr>
  </w:style>
  <w:style w:type="paragraph" w:styleId="afff2">
    <w:name w:val="Document Map"/>
    <w:basedOn w:val="a0"/>
    <w:link w:val="afff3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3">
    <w:name w:val="Схема документа Знак"/>
    <w:link w:val="afff2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4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5">
    <w:name w:val="page number"/>
    <w:uiPriority w:val="99"/>
    <w:rPr>
      <w:rFonts w:cs="Times New Roman"/>
    </w:rPr>
  </w:style>
  <w:style w:type="character" w:customStyle="1" w:styleId="aff6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6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7">
    <w:name w:val="Подпункт"/>
    <w:basedOn w:val="aff"/>
    <w:pPr>
      <w:tabs>
        <w:tab w:val="num" w:pos="2880"/>
      </w:tabs>
      <w:ind w:left="2880" w:hanging="360"/>
    </w:pPr>
    <w:rPr>
      <w:szCs w:val="28"/>
      <w:lang w:eastAsia="ru-RU"/>
    </w:rPr>
  </w:style>
  <w:style w:type="paragraph" w:customStyle="1" w:styleId="2a">
    <w:name w:val="Пункт2"/>
    <w:basedOn w:val="aff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9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8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 w:hint="default"/>
      <w:b w:val="0"/>
      <w:bCs w:val="0"/>
      <w:color w:val="333333"/>
    </w:rPr>
  </w:style>
  <w:style w:type="character" w:customStyle="1" w:styleId="afff9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9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styleId="afffa">
    <w:name w:val="TOC Heading"/>
    <w:basedOn w:val="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1a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Таблица 1"/>
    <w:basedOn w:val="a0"/>
    <w:link w:val="1c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c">
    <w:name w:val="Таблица 1 Знак"/>
    <w:link w:val="1b"/>
    <w:rPr>
      <w:rFonts w:ascii="Times New Roman" w:eastAsia="Times New Roman" w:hAnsi="Times New Roman"/>
      <w:sz w:val="24"/>
      <w:szCs w:val="28"/>
    </w:rPr>
  </w:style>
  <w:style w:type="paragraph" w:customStyle="1" w:styleId="afffb">
    <w:name w:val="П.З."/>
    <w:basedOn w:val="a0"/>
    <w:link w:val="afff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c">
    <w:name w:val="П.З. Знак"/>
    <w:link w:val="afffb"/>
    <w:rPr>
      <w:rFonts w:ascii="Times New Roman" w:eastAsia="Times New Roman" w:hAnsi="Times New Roman"/>
      <w:sz w:val="28"/>
      <w:szCs w:val="28"/>
    </w:rPr>
  </w:style>
  <w:style w:type="paragraph" w:customStyle="1" w:styleId="afffd">
    <w:name w:val="П.З. Текст"/>
    <w:basedOn w:val="a0"/>
    <w:link w:val="afffe"/>
    <w:pPr>
      <w:tabs>
        <w:tab w:val="left" w:pos="709"/>
      </w:tabs>
      <w:spacing w:after="0" w:line="240" w:lineRule="auto"/>
      <w:ind w:left="284" w:right="284"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fffe">
    <w:name w:val="П.З. Текст Знак"/>
    <w:link w:val="afffd"/>
    <w:rPr>
      <w:rFonts w:ascii="Times New Roman" w:eastAsia="Times New Roman" w:hAnsi="Times New Roman"/>
      <w:sz w:val="24"/>
      <w:lang w:eastAsia="en-US"/>
    </w:rPr>
  </w:style>
  <w:style w:type="paragraph" w:styleId="affff">
    <w:name w:val="caption"/>
    <w:basedOn w:val="afffd"/>
    <w:next w:val="afffd"/>
    <w:uiPriority w:val="99"/>
    <w:qFormat/>
    <w:pPr>
      <w:keepNext/>
      <w:spacing w:before="240"/>
      <w:ind w:firstLine="0"/>
      <w:jc w:val="left"/>
    </w:pPr>
    <w:rPr>
      <w:bCs/>
    </w:rPr>
  </w:style>
  <w:style w:type="character" w:customStyle="1" w:styleId="site-pagename">
    <w:name w:val="site-pagename"/>
  </w:style>
  <w:style w:type="paragraph" w:styleId="affff0">
    <w:name w:val="Normal (Web)"/>
    <w:basedOn w:val="a0"/>
    <w:uiPriority w:val="99"/>
    <w:semiHidden/>
    <w:unhideWhenUsed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37F88-C124-461A-99CD-2634964255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2A681B-26B1-41A9-922A-236745438A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066358-1DB6-4EC7-A791-A4CD378A7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CD8C19A-0678-43B4-A743-63B83EA7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1150</Words>
  <Characters>6560</Characters>
  <Application>Microsoft Office Word</Application>
  <DocSecurity>0</DocSecurity>
  <Lines>54</Lines>
  <Paragraphs>15</Paragraphs>
  <ScaleCrop>false</ScaleCrop>
  <Company>МРСК Сибири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cp:lastModifiedBy>Надежда Кузнецова</cp:lastModifiedBy>
  <cp:revision>16</cp:revision>
  <dcterms:created xsi:type="dcterms:W3CDTF">2023-01-27T06:16:00Z</dcterms:created>
  <dcterms:modified xsi:type="dcterms:W3CDTF">2026-03-26T01:40:00Z</dcterms:modified>
</cp:coreProperties>
</file>